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40A085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807F7DE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179E89B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654BF1E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BAA907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86D12D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6CDC9BD4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512D2C60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5C82E41B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42C84FF6">
      <w:pPr>
        <w:spacing w:line="360" w:lineRule="auto"/>
        <w:jc w:val="center"/>
        <w:rPr>
          <w:rFonts w:hint="default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东北大学材料管理平台操作手册</w:t>
      </w:r>
    </w:p>
    <w:p w14:paraId="3EE49DBE">
      <w:pPr>
        <w:spacing w:line="360" w:lineRule="auto"/>
        <w:jc w:val="center"/>
        <w:rPr>
          <w:rFonts w:hint="eastAsia"/>
          <w:sz w:val="72"/>
          <w:szCs w:val="7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（分管领导版</w:t>
      </w:r>
      <w:r>
        <w:rPr>
          <w:rFonts w:hint="eastAsia"/>
          <w:sz w:val="72"/>
          <w:szCs w:val="72"/>
          <w:lang w:val="en-US" w:eastAsia="zh-CN"/>
        </w:rPr>
        <w:t>）</w:t>
      </w:r>
    </w:p>
    <w:p w14:paraId="036EC35B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56102FC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3F25122C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11C09C1A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072CF02E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4A1931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C5D63B2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0FAE552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8C547F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0CE7C745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6C2C014"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系统登录</w:t>
      </w:r>
    </w:p>
    <w:p w14:paraId="778A51E1">
      <w:pPr>
        <w:bidi w:val="0"/>
        <w:spacing w:line="360" w:lineRule="auto"/>
        <w:jc w:val="distribute"/>
        <w:rPr>
          <w:rFonts w:hint="default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0"/>
          <w:szCs w:val="30"/>
          <w:shd w:val="clear" w:color="auto" w:fill="auto"/>
          <w:lang w:val="en-US" w:eastAsia="zh-CN"/>
          <w14:textFill>
            <w14:solidFill>
              <w14:schemeClr w14:val="accent6"/>
            </w14:solidFill>
          </w14:textFill>
        </w:rPr>
        <w:t>1.第一步：</w:t>
      </w:r>
      <w:r>
        <w:rPr>
          <w:rFonts w:hint="eastAsia" w:ascii="宋体" w:hAnsi="宋体" w:eastAsia="宋体" w:cs="宋体"/>
          <w:sz w:val="30"/>
          <w:szCs w:val="30"/>
          <w:shd w:val="clear" w:color="auto" w:fill="auto"/>
          <w:lang w:val="en-US" w:eastAsia="zh-CN"/>
        </w:rPr>
        <w:t>在电脑浏览器中输入系统网址：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instrText xml:space="preserve"> HYPERLINK "http://clcg.neu.edu.cn/web/" </w:instrTex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http://clcg.neu.edu.cn/web/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end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，登陆页面如下图</w:t>
      </w:r>
    </w:p>
    <w:p w14:paraId="3CCF5B77">
      <w:pPr>
        <w:rPr>
          <w:rFonts w:hint="default"/>
          <w:lang w:val="en-US" w:eastAsia="zh-CN"/>
        </w:rPr>
      </w:pPr>
    </w:p>
    <w:p w14:paraId="308056C5">
      <w:r>
        <w:drawing>
          <wp:inline distT="0" distB="0" distL="114300" distR="114300">
            <wp:extent cx="5719445" cy="3135630"/>
            <wp:effectExtent l="0" t="0" r="20955" b="13970"/>
            <wp:docPr id="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8B8E5"/>
    <w:p w14:paraId="6B9F6594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2.第二步：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选择登录方式，本系统支持账号密码登陆或扫描二维码登陆。</w:t>
      </w:r>
    </w:p>
    <w:p w14:paraId="09D744C4">
      <w:pPr>
        <w:bidi w:val="0"/>
        <w:spacing w:line="360" w:lineRule="auto"/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①：账号密码登录</w:t>
      </w:r>
    </w:p>
    <w:p w14:paraId="6B65315D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    · 账号：您的工号或学号</w:t>
      </w:r>
    </w:p>
    <w:p w14:paraId="6FCCF8B1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    · 密码：密码为统一身份认证账户密码</w:t>
      </w:r>
    </w:p>
    <w:p w14:paraId="3FF55B5E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②：扫描二维码登录：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扫码登录前请先关注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instrText xml:space="preserve"> HYPERLINK "https://pass.neu.edu.cn/portal/wechat/help/wechat-help.html" \t "https://pass.neu.edu.cn/tpass/login?service=http://clcg.neu.edu.cn/v3/public/base/login/_blank" </w:instrTex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“东北大学微信企业号”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end"/>
      </w:r>
    </w:p>
    <w:p w14:paraId="6D898F49">
      <w:pPr>
        <w:bidi w:val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034A3662">
      <w:pPr>
        <w:bidi w:val="0"/>
      </w:pPr>
      <w:r>
        <w:drawing>
          <wp:inline distT="0" distB="0" distL="114300" distR="114300">
            <wp:extent cx="5156835" cy="2118995"/>
            <wp:effectExtent l="0" t="0" r="24765" b="14605"/>
            <wp:docPr id="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2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82290">
      <w:pPr>
        <w:bidi w:val="0"/>
      </w:pPr>
    </w:p>
    <w:p w14:paraId="5674C982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第三步：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点击【登录】后，进入系统首页，左侧为功能栏，不同级别角色可查看的功能不同，我的待办显示待处理事项，包括审核、收货、上传附件等操作，审批中心可查看所要审批的订单。</w:t>
      </w:r>
    </w:p>
    <w:p w14:paraId="59C2FA7B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094771A"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订单审批（仅限有审核权的用户）</w:t>
      </w:r>
    </w:p>
    <w:p w14:paraId="7FFB37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1.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审核老师登录系统后首页面，【我的待办】项中即显示当前待处理的事项。点击【待审核】即可自动跳转到待我审核的订单页面。</w:t>
      </w:r>
    </w:p>
    <w:p w14:paraId="07CAC280">
      <w:pPr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57800" cy="2625725"/>
            <wp:effectExtent l="0" t="0" r="0" b="1587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6"/>
                    <a:srcRect t="498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119D5">
      <w:pP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也可以点击【订单管理】-【审批中心】查看待我审核的订单</w:t>
      </w:r>
    </w:p>
    <w:p w14:paraId="5A6AA9A0">
      <w:pPr>
        <w:rPr>
          <w:rFonts w:hint="eastAsia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271135" cy="2640965"/>
            <wp:effectExtent l="0" t="0" r="12065" b="63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7">
                      <a:lum bright="-6000"/>
                    </a:blip>
                    <a:srcRect t="390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0DC39">
      <w:pPr>
        <w:numPr>
          <w:ilvl w:val="0"/>
          <w:numId w:val="2"/>
        </w:numPr>
        <w:ind w:left="420" w:leftChars="0" w:hanging="420" w:firstLineChars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审核通过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。可对单个订单【通过】，也可对勾选的订单进行【批量通过】操作</w:t>
      </w:r>
    </w:p>
    <w:p w14:paraId="53108CA0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6002655" cy="2344420"/>
            <wp:effectExtent l="0" t="0" r="17145" b="17780"/>
            <wp:docPr id="9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02655" cy="23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B0F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cstheme="minorBidi"/>
          <w:kern w:val="2"/>
          <w:sz w:val="32"/>
          <w:szCs w:val="32"/>
          <w:lang w:val="en-US" w:eastAsia="zh-CN" w:bidi="ar-SA"/>
        </w:rPr>
      </w:pPr>
    </w:p>
    <w:p w14:paraId="372297A7">
      <w:pPr>
        <w:numPr>
          <w:ilvl w:val="0"/>
          <w:numId w:val="2"/>
        </w:numPr>
        <w:ind w:left="420" w:leftChars="0" w:hanging="42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审核驳回。可对单个订单【驳回】，也可对勾选的订单进行【批量驳回】操作。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驳回时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需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录入驳回原因</w:t>
      </w:r>
    </w:p>
    <w:p w14:paraId="102C95E8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663190"/>
            <wp:effectExtent l="0" t="0" r="16510" b="381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6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3DC71">
      <w:pPr>
        <w:numPr>
          <w:ilvl w:val="0"/>
          <w:numId w:val="2"/>
        </w:numPr>
        <w:ind w:left="420" w:leftChars="0" w:hanging="420" w:firstLine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订单状态查看。订单审批完成后可在左侧审批中心，「已审批」进度详情，查看目前订单状态和后续的审批流程</w:t>
      </w:r>
    </w:p>
    <w:p w14:paraId="3F928A48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9865" cy="1593850"/>
            <wp:effectExtent l="0" t="0" r="1333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77070"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62245" cy="3049270"/>
            <wp:effectExtent l="0" t="0" r="20955" b="2413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04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4" w:name="_GoBack"/>
      <w:bookmarkEnd w:id="4"/>
    </w:p>
    <w:p w14:paraId="6C17AF4E"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台账管理</w:t>
      </w:r>
    </w:p>
    <w:p w14:paraId="66B0657D">
      <w:pPr>
        <w:pStyle w:val="3"/>
        <w:bidi w:val="0"/>
        <w:rPr>
          <w:rFonts w:hint="eastAsia" w:ascii="黑体" w:hAnsi="黑体" w:eastAsia="黑体" w:cs="黑体"/>
          <w:lang w:val="en-US" w:eastAsia="zh-CN"/>
        </w:rPr>
      </w:pPr>
      <w:bookmarkStart w:id="0" w:name="_Toc13700"/>
      <w:r>
        <w:rPr>
          <w:rFonts w:hint="eastAsia" w:ascii="黑体" w:hAnsi="黑体" w:eastAsia="黑体" w:cs="黑体"/>
          <w:lang w:val="en-US" w:eastAsia="zh-CN"/>
        </w:rPr>
        <w:t>1.查看台账</w:t>
      </w:r>
      <w:bookmarkEnd w:id="0"/>
    </w:p>
    <w:p w14:paraId="1FE1144C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</w:pPr>
      <w:r>
        <w:rPr>
          <w:rFonts w:hint="eastAsia"/>
          <w:sz w:val="32"/>
          <w:szCs w:val="32"/>
          <w:lang w:val="en-US" w:eastAsia="zh-CN"/>
        </w:rPr>
        <w:t>进入台账管理模块，可以查看【我的台账】、【实验室台账】，老师可以查看自己学生的【学生台账】查看。</w:t>
      </w: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注：查看实验室台账需在</w:t>
      </w: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【信息维护】页面完善个人信息。</w:t>
      </w:r>
    </w:p>
    <w:p w14:paraId="3FF6B537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</w:p>
    <w:p w14:paraId="03420FA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0975" cy="2595245"/>
            <wp:effectExtent l="0" t="0" r="22225" b="20955"/>
            <wp:docPr id="10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90099">
      <w:pPr>
        <w:pStyle w:val="3"/>
        <w:numPr>
          <w:ilvl w:val="0"/>
          <w:numId w:val="0"/>
        </w:numPr>
        <w:bidi w:val="0"/>
        <w:rPr>
          <w:rFonts w:hint="eastAsia"/>
          <w:lang w:val="en-US" w:eastAsia="zh-CN"/>
        </w:rPr>
      </w:pPr>
      <w:bookmarkStart w:id="1" w:name="_Toc5976"/>
      <w:r>
        <w:rPr>
          <w:rFonts w:hint="eastAsia"/>
          <w:lang w:val="en-US" w:eastAsia="zh-CN"/>
        </w:rPr>
        <w:t>2.登记使用</w:t>
      </w:r>
      <w:bookmarkEnd w:id="1"/>
    </w:p>
    <w:p w14:paraId="04D3EBAC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点击【登记使用】，弹出录入台账页面，填写使用量、使用人及使用时间，确认后系统自动更新出库量、入库量以及现有存量</w:t>
      </w:r>
    </w:p>
    <w:p w14:paraId="001DAD7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037080"/>
            <wp:effectExtent l="0" t="0" r="16510" b="20320"/>
            <wp:docPr id="7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06D61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3462020"/>
            <wp:effectExtent l="0" t="0" r="10160" b="17780"/>
            <wp:docPr id="10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5AF1F">
      <w:pPr>
        <w:spacing w:line="360" w:lineRule="auto"/>
        <w:rPr>
          <w:rFonts w:hint="eastAsia"/>
          <w:sz w:val="24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登记使用后，点击【查看使用记录】，可以查看使用量、使用人、使用时间和用途</w:t>
      </w:r>
      <w:r>
        <w:rPr>
          <w:rFonts w:hint="eastAsia"/>
          <w:sz w:val="24"/>
          <w:lang w:val="en-US" w:eastAsia="zh-CN"/>
        </w:rPr>
        <w:t>。</w:t>
      </w:r>
    </w:p>
    <w:p w14:paraId="2BFC5A35"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bookmarkStart w:id="2" w:name="_Toc29620"/>
      <w:r>
        <w:rPr>
          <w:rFonts w:hint="eastAsia"/>
          <w:lang w:val="en-US" w:eastAsia="zh-CN"/>
        </w:rPr>
        <w:t>调剂</w:t>
      </w:r>
      <w:bookmarkEnd w:id="2"/>
    </w:p>
    <w:p w14:paraId="14E6C291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点击【调剂】，选择要调剂的商品，填写接收的校区、楼宇、房间、实验室以及接收人，点击【确定】后完成调剂。</w:t>
      </w:r>
    </w:p>
    <w:p w14:paraId="27666C94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9230" cy="2574290"/>
            <wp:effectExtent l="0" t="0" r="13970" b="16510"/>
            <wp:docPr id="10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0E01D">
      <w:pPr>
        <w:spacing w:line="360" w:lineRule="auto"/>
        <w:rPr>
          <w:rFonts w:hint="eastAsia"/>
          <w:sz w:val="24"/>
          <w:lang w:val="en-US" w:eastAsia="zh-CN"/>
        </w:rPr>
      </w:pPr>
    </w:p>
    <w:p w14:paraId="66248EE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点击【查看调剂记录】，可以查看调剂的出库以及入库记录，展示所属人、存放位置等信息。</w:t>
      </w:r>
    </w:p>
    <w:p w14:paraId="1AD1F6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8595" cy="1126490"/>
            <wp:effectExtent l="0" t="0" r="14605" b="16510"/>
            <wp:docPr id="10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65A59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勾选需要调剂的商品，点击【批量调剂】，填写要接收的校区、楼宇、房间、实验室以及接收人后完成批量调剂操作。</w:t>
      </w:r>
    </w:p>
    <w:p w14:paraId="3726E6C9">
      <w:pPr>
        <w:spacing w:line="360" w:lineRule="auto"/>
        <w:rPr>
          <w:rFonts w:hint="eastAsia"/>
          <w:sz w:val="24"/>
          <w:lang w:val="en-US" w:eastAsia="zh-CN"/>
        </w:rPr>
      </w:pPr>
      <w:r>
        <w:drawing>
          <wp:inline distT="0" distB="0" distL="114300" distR="114300">
            <wp:extent cx="5269865" cy="2302510"/>
            <wp:effectExtent l="0" t="0" r="13335" b="8890"/>
            <wp:docPr id="10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C78A4">
      <w:pPr>
        <w:pStyle w:val="3"/>
        <w:bidi w:val="0"/>
        <w:rPr>
          <w:rFonts w:hint="eastAsia" w:ascii="黑体" w:hAnsi="黑体" w:eastAsia="黑体" w:cs="黑体"/>
          <w:lang w:val="en-US" w:eastAsia="zh-CN"/>
        </w:rPr>
      </w:pPr>
      <w:bookmarkStart w:id="3" w:name="_Toc8983"/>
      <w:r>
        <w:rPr>
          <w:rFonts w:hint="eastAsia" w:ascii="黑体" w:hAnsi="黑体" w:cs="黑体"/>
          <w:lang w:val="en-US" w:eastAsia="zh-CN"/>
        </w:rPr>
        <w:t>4</w:t>
      </w:r>
      <w:r>
        <w:rPr>
          <w:rFonts w:hint="eastAsia" w:ascii="黑体" w:hAnsi="黑体" w:eastAsia="黑体" w:cs="黑体"/>
          <w:lang w:val="en-US" w:eastAsia="zh-CN"/>
        </w:rPr>
        <w:t>.一键销账</w:t>
      </w:r>
      <w:bookmarkEnd w:id="3"/>
    </w:p>
    <w:p w14:paraId="708D4B89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选择需要使用的商品，点击【一键销账】，填写使用人及使用时间，点击【确定】完成销账操作，商品状态变为“已用完”</w:t>
      </w:r>
    </w:p>
    <w:p w14:paraId="45FC561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150" cy="1062355"/>
            <wp:effectExtent l="0" t="0" r="19050" b="4445"/>
            <wp:docPr id="10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87BCD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2165985"/>
            <wp:effectExtent l="0" t="0" r="8890" b="18415"/>
            <wp:docPr id="10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ECB6E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770" cy="866140"/>
            <wp:effectExtent l="0" t="0" r="11430" b="22860"/>
            <wp:docPr id="11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4CB07"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数据统计</w:t>
      </w:r>
    </w:p>
    <w:p w14:paraId="19357A00">
      <w:pPr>
        <w:pStyle w:val="4"/>
        <w:numPr>
          <w:ilvl w:val="0"/>
          <w:numId w:val="4"/>
        </w:numPr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</w:rPr>
        <w:t>查看学校化学品采购量，使用量和存量</w:t>
      </w:r>
    </w:p>
    <w:p w14:paraId="41CBBC90">
      <w:pPr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点击数据统计-化学品统计-默认页面，默认可以查看近12个月内的总的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入库</w:t>
      </w:r>
      <w:r>
        <w:rPr>
          <w:rFonts w:hint="eastAsia" w:ascii="宋体" w:hAnsi="宋体" w:eastAsia="宋体" w:cs="宋体"/>
          <w:sz w:val="32"/>
          <w:szCs w:val="32"/>
        </w:rPr>
        <w:t>量、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出库</w:t>
      </w:r>
      <w:r>
        <w:rPr>
          <w:rFonts w:hint="eastAsia" w:ascii="宋体" w:hAnsi="宋体" w:eastAsia="宋体" w:cs="宋体"/>
          <w:sz w:val="32"/>
          <w:szCs w:val="32"/>
        </w:rPr>
        <w:t>量、存量和每个商品的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入库</w:t>
      </w:r>
      <w:r>
        <w:rPr>
          <w:rFonts w:hint="eastAsia" w:ascii="宋体" w:hAnsi="宋体" w:eastAsia="宋体" w:cs="宋体"/>
          <w:sz w:val="32"/>
          <w:szCs w:val="32"/>
        </w:rPr>
        <w:t>量，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出库</w:t>
      </w:r>
      <w:r>
        <w:rPr>
          <w:rFonts w:hint="eastAsia" w:ascii="宋体" w:hAnsi="宋体" w:eastAsia="宋体" w:cs="宋体"/>
          <w:sz w:val="32"/>
          <w:szCs w:val="32"/>
        </w:rPr>
        <w:t>量和存量。并可以选择，学院，楼宇，房间维度的商品的采购量，使用量和存量。不同角色可看到不同的数据信息，校级可以看到全校商品，院级只能看到负责的学院的商品。实验室级只能看到自己负责的实验室的商品。</w:t>
      </w:r>
    </w:p>
    <w:p w14:paraId="5105AFE5">
      <w:r>
        <w:drawing>
          <wp:inline distT="0" distB="0" distL="114300" distR="114300">
            <wp:extent cx="5271135" cy="2280920"/>
            <wp:effectExtent l="0" t="0" r="1206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A6A9A">
      <w:pPr>
        <w:pStyle w:val="4"/>
        <w:numPr>
          <w:ilvl w:val="0"/>
          <w:numId w:val="4"/>
        </w:numPr>
        <w:ind w:left="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订单统计</w:t>
      </w:r>
    </w:p>
    <w:p w14:paraId="18CFFE1A">
      <w:pPr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</w:t>
      </w:r>
      <w:r>
        <w:rPr>
          <w:rFonts w:hint="eastAsia" w:ascii="宋体" w:hAnsi="宋体" w:eastAsia="宋体" w:cs="宋体"/>
          <w:sz w:val="32"/>
          <w:szCs w:val="32"/>
        </w:rPr>
        <w:t>击数据统计-订单统计，可以按照采购类型、品牌、商品、经销商、经费账户、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学院</w:t>
      </w:r>
      <w:r>
        <w:rPr>
          <w:rFonts w:hint="eastAsia" w:ascii="宋体" w:hAnsi="宋体" w:eastAsia="宋体" w:cs="宋体"/>
          <w:sz w:val="32"/>
          <w:szCs w:val="32"/>
        </w:rPr>
        <w:t>、申购人、订单状态来统计订单量和金额，可查看订单详情。并支持导出。</w:t>
      </w:r>
    </w:p>
    <w:p w14:paraId="55061495">
      <w:pPr>
        <w:rPr>
          <w:rFonts w:hint="default" w:eastAsiaTheme="minorEastAsia"/>
          <w:lang w:val="en-US" w:eastAsia="zh-CN"/>
        </w:rPr>
      </w:pPr>
    </w:p>
    <w:p w14:paraId="5D4F8942">
      <w:r>
        <w:drawing>
          <wp:inline distT="0" distB="0" distL="114300" distR="114300">
            <wp:extent cx="5266690" cy="2230120"/>
            <wp:effectExtent l="0" t="0" r="16510" b="508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3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4D0E1">
      <w:pPr>
        <w:pStyle w:val="4"/>
        <w:rPr>
          <w:rFonts w:hint="eastAsia" w:ascii="宋体" w:hAnsi="宋体" w:eastAsia="宋体" w:cs="宋体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sz w:val="32"/>
          <w:szCs w:val="32"/>
        </w:rPr>
        <w:t>上述统计不满足需求怎么办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？</w:t>
      </w:r>
    </w:p>
    <w:p w14:paraId="70B4E70E">
      <w:pPr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ab/>
      </w:r>
      <w:r>
        <w:rPr>
          <w:rFonts w:hint="eastAsia" w:ascii="宋体" w:hAnsi="宋体" w:eastAsia="宋体" w:cs="宋体"/>
          <w:sz w:val="32"/>
          <w:szCs w:val="32"/>
        </w:rPr>
        <w:t>可点击高级检索，</w:t>
      </w:r>
      <w:r>
        <w:rPr>
          <w:rFonts w:hint="eastAsia" w:ascii="宋体" w:hAnsi="宋体" w:eastAsia="宋体" w:cs="宋体"/>
          <w:sz w:val="32"/>
          <w:szCs w:val="32"/>
          <w:lang w:eastAsia="zh-Hans"/>
        </w:rPr>
        <w:t>用户可根据需求</w:t>
      </w:r>
      <w:r>
        <w:rPr>
          <w:rFonts w:hint="eastAsia" w:ascii="宋体" w:hAnsi="宋体" w:eastAsia="宋体" w:cs="宋体"/>
          <w:sz w:val="32"/>
          <w:szCs w:val="32"/>
        </w:rPr>
        <w:t>点击右侧齿轮</w:t>
      </w:r>
      <w:r>
        <w:rPr>
          <w:rFonts w:hint="eastAsia" w:ascii="宋体" w:hAnsi="宋体" w:eastAsia="宋体" w:cs="宋体"/>
          <w:sz w:val="32"/>
          <w:szCs w:val="32"/>
          <w:lang w:eastAsia="zh-Hans"/>
        </w:rPr>
        <w:t>自行设置</w:t>
      </w:r>
      <w:r>
        <w:rPr>
          <w:rFonts w:hint="eastAsia" w:ascii="宋体" w:hAnsi="宋体" w:eastAsia="宋体" w:cs="宋体"/>
          <w:sz w:val="32"/>
          <w:szCs w:val="32"/>
        </w:rPr>
        <w:t>展示信息，并添加查询条件</w:t>
      </w:r>
      <w:r>
        <w:rPr>
          <w:rFonts w:hint="eastAsia" w:ascii="宋体" w:hAnsi="宋体" w:eastAsia="宋体" w:cs="宋体"/>
          <w:sz w:val="32"/>
          <w:szCs w:val="32"/>
          <w:lang w:eastAsia="zh-Hans"/>
        </w:rPr>
        <w:t>进行查询。</w:t>
      </w:r>
      <w:r>
        <w:rPr>
          <w:rFonts w:hint="eastAsia" w:ascii="宋体" w:hAnsi="宋体" w:eastAsia="宋体" w:cs="宋体"/>
          <w:sz w:val="32"/>
          <w:szCs w:val="32"/>
        </w:rPr>
        <w:t>并支持导出。</w:t>
      </w:r>
    </w:p>
    <w:p w14:paraId="6422FC7F">
      <w:pPr>
        <w:rPr>
          <w:rFonts w:hint="eastAsia" w:ascii="宋体" w:hAnsi="宋体" w:eastAsia="宋体" w:cs="宋体"/>
          <w:sz w:val="32"/>
          <w:szCs w:val="32"/>
        </w:rPr>
      </w:pPr>
      <w:r>
        <w:drawing>
          <wp:inline distT="0" distB="0" distL="114300" distR="114300">
            <wp:extent cx="5264785" cy="2364740"/>
            <wp:effectExtent l="0" t="0" r="18415" b="2286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FDAB7">
      <w:pPr>
        <w:pStyle w:val="4"/>
        <w:numPr>
          <w:ilvl w:val="0"/>
          <w:numId w:val="4"/>
        </w:numPr>
        <w:ind w:left="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气瓶统计</w:t>
      </w:r>
    </w:p>
    <w:p w14:paraId="1D3FB557">
      <w:pPr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点击「数据统计」-「气体统计」，可根据校区，楼宇，房间，气瓶分类，部门，实验室，是否过期查看气体储存情况</w:t>
      </w:r>
    </w:p>
    <w:p w14:paraId="2CEE0974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2292985"/>
            <wp:effectExtent l="0" t="0" r="15240" b="1841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FAFCA">
      <w:pPr>
        <w:rPr>
          <w:rFonts w:hint="eastAsia"/>
        </w:rPr>
      </w:pPr>
    </w:p>
    <w:p w14:paraId="14A5B48A">
      <w:pPr>
        <w:numPr>
          <w:ilvl w:val="0"/>
          <w:numId w:val="0"/>
        </w:numPr>
        <w:rPr>
          <w:rFonts w:hint="eastAsia"/>
        </w:rPr>
      </w:pPr>
    </w:p>
    <w:p w14:paraId="2F8C5706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5F576E4F">
      <w:pPr>
        <w:numPr>
          <w:ilvl w:val="0"/>
          <w:numId w:val="0"/>
        </w:numPr>
        <w:ind w:leftChars="0"/>
      </w:pPr>
    </w:p>
    <w:p w14:paraId="0F3E6526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12BF2C94"/>
    <w:p w14:paraId="2518E8C9"/>
    <w:p w14:paraId="11901072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50"/>
    <w:family w:val="auto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ADF876"/>
    <w:multiLevelType w:val="singleLevel"/>
    <w:tmpl w:val="B5ADF876"/>
    <w:lvl w:ilvl="0" w:tentative="0">
      <w:start w:val="3"/>
      <w:numFmt w:val="decimal"/>
      <w:suff w:val="space"/>
      <w:lvlText w:val="%1."/>
      <w:lvlJc w:val="left"/>
    </w:lvl>
  </w:abstractNum>
  <w:abstractNum w:abstractNumId="1">
    <w:nsid w:val="BFE4BFF1"/>
    <w:multiLevelType w:val="singleLevel"/>
    <w:tmpl w:val="BFE4BFF1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2">
    <w:nsid w:val="F5FD3223"/>
    <w:multiLevelType w:val="singleLevel"/>
    <w:tmpl w:val="F5FD322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2FFEC8A0"/>
    <w:multiLevelType w:val="singleLevel"/>
    <w:tmpl w:val="2FFEC8A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5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BD3742"/>
    <w:rsid w:val="AFF737F0"/>
    <w:rsid w:val="FBBD3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0</TotalTime>
  <ScaleCrop>false</ScaleCrop>
  <LinksUpToDate>false</LinksUpToDate>
  <CharactersWithSpaces>0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2025-10-31T01:08:00Z</dcterms:created>
  <dc:creator>林沐熙</dc:creator>
  <cp:lastModifiedBy>林沐熙</cp:lastModifiedBy>
  <dcterms:modified xsi:type="dcterms:W3CDTF">2025-10-31T09:13:23Z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ICV">
    <vt:lpwstr>2EB5625BC047E414072B036989CD991D_41</vt:lpwstr>
  </property>
</Properties>
</file>