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40A085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807F7DE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179E89B6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654BF1E6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BAA907F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86D12DF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6CDC9BD4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512D2C60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5C82E41B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42C84FF6">
      <w:pPr>
        <w:spacing w:line="360" w:lineRule="auto"/>
        <w:jc w:val="center"/>
        <w:rPr>
          <w:rFonts w:hint="default"/>
          <w:sz w:val="52"/>
          <w:szCs w:val="5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东北大学材料管理平台操作手册</w:t>
      </w:r>
    </w:p>
    <w:p w14:paraId="3EE49DBE">
      <w:pPr>
        <w:spacing w:line="360" w:lineRule="auto"/>
        <w:jc w:val="center"/>
        <w:rPr>
          <w:rFonts w:hint="eastAsia"/>
          <w:sz w:val="72"/>
          <w:szCs w:val="7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（归口部门负责人版</w:t>
      </w:r>
      <w:r>
        <w:rPr>
          <w:rFonts w:hint="eastAsia"/>
          <w:sz w:val="72"/>
          <w:szCs w:val="72"/>
          <w:lang w:val="en-US" w:eastAsia="zh-CN"/>
        </w:rPr>
        <w:t>）</w:t>
      </w:r>
    </w:p>
    <w:p w14:paraId="036EC35B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56102FC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3F25122C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11C09C1A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072CF02E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4A19316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C5D63B2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0FAE552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8C547FF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0CE7C745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6C2C014">
      <w:pPr>
        <w:pStyle w:val="2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系统登录</w:t>
      </w:r>
    </w:p>
    <w:p w14:paraId="778A51E1">
      <w:pPr>
        <w:bidi w:val="0"/>
        <w:spacing w:line="360" w:lineRule="auto"/>
        <w:jc w:val="distribute"/>
        <w:rPr>
          <w:rFonts w:hint="default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0"/>
          <w:szCs w:val="30"/>
          <w:shd w:val="clear" w:color="auto" w:fill="auto"/>
          <w:lang w:val="en-US" w:eastAsia="zh-CN"/>
          <w14:textFill>
            <w14:solidFill>
              <w14:schemeClr w14:val="accent6"/>
            </w14:solidFill>
          </w14:textFill>
        </w:rPr>
        <w:t>1.第一步：</w:t>
      </w:r>
      <w:r>
        <w:rPr>
          <w:rFonts w:hint="eastAsia" w:ascii="宋体" w:hAnsi="宋体" w:eastAsia="宋体" w:cs="宋体"/>
          <w:sz w:val="30"/>
          <w:szCs w:val="30"/>
          <w:shd w:val="clear" w:color="auto" w:fill="auto"/>
          <w:lang w:val="en-US" w:eastAsia="zh-CN"/>
        </w:rPr>
        <w:t>在电脑浏览器中输入系统网址：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instrText xml:space="preserve"> HYPERLINK "http://clcg.neu.edu.cn/web/" </w:instrTex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http://clcg.neu.edu.cn/web/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end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，登陆页面如下图</w:t>
      </w:r>
    </w:p>
    <w:p w14:paraId="3CCF5B77">
      <w:pPr>
        <w:rPr>
          <w:rFonts w:hint="default"/>
          <w:lang w:val="en-US" w:eastAsia="zh-CN"/>
        </w:rPr>
      </w:pPr>
    </w:p>
    <w:p w14:paraId="308056C5">
      <w:r>
        <w:drawing>
          <wp:inline distT="0" distB="0" distL="114300" distR="114300">
            <wp:extent cx="5719445" cy="3135630"/>
            <wp:effectExtent l="0" t="0" r="20955" b="13970"/>
            <wp:docPr id="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313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8B8E5"/>
    <w:p w14:paraId="6B9F6594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2.第二步：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选择登录方式，本系统支持账号密码登陆或扫描二维码登陆。</w:t>
      </w:r>
    </w:p>
    <w:p w14:paraId="09D744C4">
      <w:pPr>
        <w:bidi w:val="0"/>
        <w:spacing w:line="360" w:lineRule="auto"/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①：账号密码登录</w:t>
      </w:r>
    </w:p>
    <w:p w14:paraId="6B65315D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 xml:space="preserve">     · 账号：您的工号或学号</w:t>
      </w:r>
    </w:p>
    <w:p w14:paraId="6FCCF8B1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 xml:space="preserve">     · 密码：密码为统一身份认证账户密码</w:t>
      </w:r>
    </w:p>
    <w:p w14:paraId="3FF55B5E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②：扫描二维码登录：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扫码登录前请先关注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instrText xml:space="preserve"> HYPERLINK "https://pass.neu.edu.cn/portal/wechat/help/wechat-help.html" \t "https://pass.neu.edu.cn/tpass/login?service=http://clcg.neu.edu.cn/v3/public/base/login/_blank" </w:instrTex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“东北大学微信企业号”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end"/>
      </w:r>
    </w:p>
    <w:p w14:paraId="6D898F49">
      <w:pPr>
        <w:bidi w:val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034A3662">
      <w:pPr>
        <w:bidi w:val="0"/>
      </w:pPr>
      <w:r>
        <w:drawing>
          <wp:inline distT="0" distB="0" distL="114300" distR="114300">
            <wp:extent cx="5156835" cy="2118995"/>
            <wp:effectExtent l="0" t="0" r="24765" b="14605"/>
            <wp:docPr id="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211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82290">
      <w:pPr>
        <w:bidi w:val="0"/>
      </w:pPr>
    </w:p>
    <w:p w14:paraId="5674C982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第三步：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点击【登录】后，进入系统首页，左侧为功能栏，不同级别角色可查看的功能不同，我的待办显示待处理事项，包括审核、收货、上传附件等操作，审批中心可查看所要审批的订单。</w:t>
      </w:r>
    </w:p>
    <w:p w14:paraId="59C2FA7B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094771A">
      <w:pPr>
        <w:pStyle w:val="2"/>
        <w:numPr>
          <w:ilvl w:val="0"/>
          <w:numId w:val="1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订单审批（仅限有审核权的用户）</w:t>
      </w:r>
    </w:p>
    <w:p w14:paraId="7FFB37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1.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审核老师登录系统后首页面，【我的待办】项中即显示当前待处理的事项。点击【待审核】即可自动跳转到待我审核的订单页面。</w:t>
      </w:r>
    </w:p>
    <w:p w14:paraId="07CAC280">
      <w:pPr>
        <w:rPr>
          <w:rFonts w:hint="eastAsia" w:ascii="黑体" w:hAnsi="黑体" w:eastAsia="黑体" w:cs="黑体"/>
          <w:sz w:val="24"/>
          <w:szCs w:val="24"/>
        </w:rPr>
      </w:pPr>
      <w:r>
        <w:rPr>
          <w:rFonts w:hint="eastAsia" w:ascii="黑体" w:hAnsi="黑体" w:eastAsia="黑体" w:cs="黑体"/>
          <w:sz w:val="24"/>
          <w:szCs w:val="24"/>
        </w:rPr>
        <w:drawing>
          <wp:inline distT="0" distB="0" distL="114300" distR="114300">
            <wp:extent cx="5257800" cy="2625725"/>
            <wp:effectExtent l="0" t="0" r="0" b="1587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6"/>
                    <a:srcRect t="498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2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119D5">
      <w:pP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也可以点击【订单管理】-【审批中心】查看待我审核的订单</w:t>
      </w:r>
    </w:p>
    <w:p w14:paraId="5A6AA9A0">
      <w:pPr>
        <w:rPr>
          <w:rFonts w:hint="eastAsia" w:asciiTheme="minorHAnsi" w:hAnsiTheme="minorHAnsi" w:eastAsiaTheme="minorEastAsia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5271135" cy="2640965"/>
            <wp:effectExtent l="0" t="0" r="12065" b="63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7">
                      <a:lum bright="-6000"/>
                    </a:blip>
                    <a:srcRect t="390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0DC39">
      <w:pPr>
        <w:numPr>
          <w:ilvl w:val="0"/>
          <w:numId w:val="2"/>
        </w:numPr>
        <w:ind w:left="420" w:leftChars="0" w:hanging="420" w:firstLineChars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审核通过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。可对单个订单【通过】，也可对勾选的订单进行【批量通过】操作</w:t>
      </w:r>
    </w:p>
    <w:p w14:paraId="69AB0FC7">
      <w:pPr>
        <w:numPr>
          <w:ilvl w:val="0"/>
          <w:numId w:val="0"/>
        </w:numPr>
        <w:ind w:leftChars="0"/>
        <w:rPr>
          <w:rFonts w:hint="default" w:cstheme="minorBidi"/>
          <w:kern w:val="2"/>
          <w:sz w:val="32"/>
          <w:szCs w:val="32"/>
          <w:lang w:val="en-US" w:eastAsia="zh-CN" w:bidi="ar-SA"/>
        </w:rPr>
      </w:pPr>
      <w:r>
        <w:drawing>
          <wp:inline distT="0" distB="0" distL="114300" distR="114300">
            <wp:extent cx="5255260" cy="2314575"/>
            <wp:effectExtent l="0" t="0" r="2540" b="222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297A7">
      <w:pPr>
        <w:numPr>
          <w:ilvl w:val="0"/>
          <w:numId w:val="2"/>
        </w:numPr>
        <w:ind w:left="420" w:leftChars="0" w:hanging="42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审核驳回。可对单个订单【驳回】，也可对勾选的订单进行【批量驳回】操作。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驳回时可以整单驳回至采购人，录入驳回原因；若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仅是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上传的附件需要修改，也可以单独驳回附件，由采购人再次上传提交，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审批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流程不受影响</w:t>
      </w:r>
    </w:p>
    <w:p w14:paraId="102C95E8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8595" cy="2223770"/>
            <wp:effectExtent l="0" t="0" r="14605" b="1143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2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3DC71">
      <w:pPr>
        <w:numPr>
          <w:ilvl w:val="0"/>
          <w:numId w:val="2"/>
        </w:numPr>
        <w:ind w:left="420" w:leftChars="0" w:hanging="420" w:firstLine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订单状态查看。订单审批完成后可在左侧审批中心，「已审批」进度详情，查看目前订单状态和后续的审批流程</w:t>
      </w:r>
    </w:p>
    <w:p w14:paraId="3F928A48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9865" cy="1593850"/>
            <wp:effectExtent l="0" t="0" r="13335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77070"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62245" cy="3049270"/>
            <wp:effectExtent l="0" t="0" r="20955" b="2413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04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5C792">
      <w:pPr>
        <w:numPr>
          <w:ilvl w:val="0"/>
          <w:numId w:val="0"/>
        </w:numPr>
        <w:ind w:leftChars="0"/>
      </w:pPr>
    </w:p>
    <w:p w14:paraId="6C17AF4E">
      <w:pPr>
        <w:pStyle w:val="2"/>
        <w:numPr>
          <w:ilvl w:val="0"/>
          <w:numId w:val="1"/>
        </w:numPr>
        <w:bidi w:val="0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台账管理</w:t>
      </w:r>
    </w:p>
    <w:p w14:paraId="66B0657D">
      <w:pPr>
        <w:pStyle w:val="3"/>
        <w:bidi w:val="0"/>
        <w:rPr>
          <w:rFonts w:hint="eastAsia" w:ascii="黑体" w:hAnsi="黑体" w:eastAsia="黑体" w:cs="黑体"/>
          <w:lang w:val="en-US" w:eastAsia="zh-CN"/>
        </w:rPr>
      </w:pPr>
      <w:bookmarkStart w:id="0" w:name="_Toc13700"/>
      <w:r>
        <w:rPr>
          <w:rFonts w:hint="eastAsia" w:ascii="黑体" w:hAnsi="黑体" w:eastAsia="黑体" w:cs="黑体"/>
          <w:lang w:val="en-US" w:eastAsia="zh-CN"/>
        </w:rPr>
        <w:t>1.查看台账</w:t>
      </w:r>
      <w:bookmarkEnd w:id="0"/>
    </w:p>
    <w:p w14:paraId="1FE1144C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</w:pPr>
      <w:r>
        <w:rPr>
          <w:rFonts w:hint="eastAsia"/>
          <w:sz w:val="32"/>
          <w:szCs w:val="32"/>
          <w:lang w:val="en-US" w:eastAsia="zh-CN"/>
        </w:rPr>
        <w:t>进入台账管理模块，可以查看【我的台账】、【实验室台账】，老师可以查看自己学生的【学生台账】查看。</w:t>
      </w: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注：查看实验室台账需在</w:t>
      </w:r>
      <w:r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【信息维护】页面完善个人信息。</w:t>
      </w:r>
    </w:p>
    <w:p w14:paraId="3FF6B537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</w:p>
    <w:p w14:paraId="03420FA7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0975" cy="2595245"/>
            <wp:effectExtent l="0" t="0" r="22225" b="20955"/>
            <wp:docPr id="10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F9701">
      <w:pPr>
        <w:pStyle w:val="3"/>
        <w:numPr>
          <w:ilvl w:val="0"/>
          <w:numId w:val="0"/>
        </w:numPr>
        <w:bidi w:val="0"/>
        <w:rPr>
          <w:rFonts w:hint="eastAsia"/>
          <w:lang w:eastAsia="zh-CN"/>
        </w:rPr>
      </w:pPr>
      <w:bookmarkStart w:id="5" w:name="_GoBack"/>
      <w:bookmarkEnd w:id="5"/>
      <w:bookmarkStart w:id="1" w:name="_Toc4813"/>
      <w:r>
        <w:rPr>
          <w:rFonts w:hint="eastAsia"/>
          <w:lang w:val="en-US" w:eastAsia="zh-CN"/>
        </w:rPr>
        <w:t>2.历史库存</w:t>
      </w:r>
      <w:bookmarkEnd w:id="1"/>
    </w:p>
    <w:p w14:paraId="0FAD2AD5">
      <w:pPr>
        <w:pStyle w:val="4"/>
        <w:numPr>
          <w:ilvl w:val="0"/>
          <w:numId w:val="0"/>
        </w:num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针对不是从本平台采购的历史库存，支持两种方式导入：单个新增历史库存，或者下载模板批量导入历史库存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。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val="en-US" w:eastAsia="zh-CN"/>
        </w:rPr>
        <w:t>新增成功后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点击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【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提交入库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】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则历史库存可在实验室台账查看</w:t>
      </w:r>
      <w:r>
        <w:rPr>
          <w:rFonts w:hint="eastAsia" w:asciiTheme="minorHAnsi" w:hAnsiTheme="minorHAnsi" w:eastAsiaTheme="minorEastAsia" w:cstheme="minorBidi"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。</w:t>
      </w:r>
    </w:p>
    <w:p w14:paraId="163E1AA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1640840"/>
            <wp:effectExtent l="0" t="0" r="8890" b="10160"/>
            <wp:docPr id="7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90099">
      <w:pPr>
        <w:pStyle w:val="3"/>
        <w:numPr>
          <w:ilvl w:val="0"/>
          <w:numId w:val="3"/>
        </w:numPr>
        <w:bidi w:val="0"/>
        <w:rPr>
          <w:rFonts w:hint="eastAsia"/>
          <w:lang w:val="en-US" w:eastAsia="zh-CN"/>
        </w:rPr>
      </w:pPr>
      <w:bookmarkStart w:id="2" w:name="_Toc5976"/>
      <w:r>
        <w:rPr>
          <w:rFonts w:hint="eastAsia"/>
          <w:lang w:val="en-US" w:eastAsia="zh-CN"/>
        </w:rPr>
        <w:t>登记使用</w:t>
      </w:r>
      <w:bookmarkEnd w:id="2"/>
    </w:p>
    <w:p w14:paraId="04D3EBAC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点击【登记使用】，弹出录入台账页面，填写使用量、使用人及使用时间，确认后系统自动更新出库量、入库量以及现有存量</w:t>
      </w:r>
    </w:p>
    <w:p w14:paraId="001DAD7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037080"/>
            <wp:effectExtent l="0" t="0" r="16510" b="20320"/>
            <wp:docPr id="7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06D61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3462020"/>
            <wp:effectExtent l="0" t="0" r="10160" b="17780"/>
            <wp:docPr id="10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46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5AF1F">
      <w:pPr>
        <w:spacing w:line="360" w:lineRule="auto"/>
        <w:rPr>
          <w:rFonts w:hint="eastAsia"/>
          <w:sz w:val="24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登记使用后，点击【查看使用记录】，可以查看使用量、使用人、使用时间和用途</w:t>
      </w:r>
      <w:r>
        <w:rPr>
          <w:rFonts w:hint="eastAsia"/>
          <w:sz w:val="24"/>
          <w:lang w:val="en-US" w:eastAsia="zh-CN"/>
        </w:rPr>
        <w:t>。</w:t>
      </w:r>
    </w:p>
    <w:p w14:paraId="2BFC5A35">
      <w:pPr>
        <w:pStyle w:val="3"/>
        <w:numPr>
          <w:ilvl w:val="0"/>
          <w:numId w:val="3"/>
        </w:numPr>
        <w:bidi w:val="0"/>
        <w:rPr>
          <w:rFonts w:hint="eastAsia"/>
          <w:lang w:val="en-US" w:eastAsia="zh-CN"/>
        </w:rPr>
      </w:pPr>
      <w:bookmarkStart w:id="3" w:name="_Toc29620"/>
      <w:r>
        <w:rPr>
          <w:rFonts w:hint="eastAsia"/>
          <w:lang w:val="en-US" w:eastAsia="zh-CN"/>
        </w:rPr>
        <w:t>调剂</w:t>
      </w:r>
      <w:bookmarkEnd w:id="3"/>
    </w:p>
    <w:p w14:paraId="14E6C291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both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点击【调剂】，选择要调剂的商品，填写接收的校区、楼宇、房间、实验室以及接收人，点击【确定】后完成调剂。</w:t>
      </w:r>
    </w:p>
    <w:p w14:paraId="27666C94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both"/>
        <w:textAlignment w:val="auto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9230" cy="2574290"/>
            <wp:effectExtent l="0" t="0" r="13970" b="16510"/>
            <wp:docPr id="10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0E01D">
      <w:pPr>
        <w:spacing w:line="360" w:lineRule="auto"/>
        <w:rPr>
          <w:rFonts w:hint="eastAsia"/>
          <w:sz w:val="24"/>
          <w:lang w:val="en-US" w:eastAsia="zh-CN"/>
        </w:rPr>
      </w:pPr>
    </w:p>
    <w:p w14:paraId="66248EE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点击【查看调剂记录】，可以查看调剂的出库以及入库记录，展示所属人、存放位置等信息。</w:t>
      </w:r>
    </w:p>
    <w:p w14:paraId="1AD1F6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8595" cy="1126490"/>
            <wp:effectExtent l="0" t="0" r="14605" b="16510"/>
            <wp:docPr id="10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65A59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勾选需要调剂的商品，点击【批量调剂】，填写要接收的校区、楼宇、房间、实验室以及接收人后完成批量调剂操作。</w:t>
      </w:r>
    </w:p>
    <w:p w14:paraId="3726E6C9">
      <w:pPr>
        <w:spacing w:line="360" w:lineRule="auto"/>
        <w:rPr>
          <w:rFonts w:hint="eastAsia"/>
          <w:sz w:val="24"/>
          <w:lang w:val="en-US" w:eastAsia="zh-CN"/>
        </w:rPr>
      </w:pPr>
      <w:r>
        <w:drawing>
          <wp:inline distT="0" distB="0" distL="114300" distR="114300">
            <wp:extent cx="5269865" cy="2302510"/>
            <wp:effectExtent l="0" t="0" r="13335" b="8890"/>
            <wp:docPr id="10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C78A4">
      <w:pPr>
        <w:pStyle w:val="3"/>
        <w:bidi w:val="0"/>
        <w:rPr>
          <w:rFonts w:hint="eastAsia" w:ascii="黑体" w:hAnsi="黑体" w:eastAsia="黑体" w:cs="黑体"/>
          <w:lang w:val="en-US" w:eastAsia="zh-CN"/>
        </w:rPr>
      </w:pPr>
      <w:bookmarkStart w:id="4" w:name="_Toc8983"/>
      <w:r>
        <w:rPr>
          <w:rFonts w:hint="eastAsia" w:ascii="黑体" w:hAnsi="黑体" w:eastAsia="黑体" w:cs="黑体"/>
          <w:lang w:val="en-US" w:eastAsia="zh-CN"/>
        </w:rPr>
        <w:t>5.一键销账</w:t>
      </w:r>
      <w:bookmarkEnd w:id="4"/>
    </w:p>
    <w:p w14:paraId="708D4B89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选择需要使用的商品，点击【一键销账】，填写使用人及使用时间，点击【确定】完成销账操作，商品状态变为“已用完”</w:t>
      </w:r>
    </w:p>
    <w:p w14:paraId="45FC561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4150" cy="1062355"/>
            <wp:effectExtent l="0" t="0" r="19050" b="4445"/>
            <wp:docPr id="10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87BCD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2165985"/>
            <wp:effectExtent l="0" t="0" r="8890" b="18415"/>
            <wp:docPr id="10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ECB6E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71770" cy="866140"/>
            <wp:effectExtent l="0" t="0" r="11430" b="22860"/>
            <wp:docPr id="11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6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55CCB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50"/>
    <w:family w:val="auto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ADF876"/>
    <w:multiLevelType w:val="singleLevel"/>
    <w:tmpl w:val="B5ADF876"/>
    <w:lvl w:ilvl="0" w:tentative="0">
      <w:start w:val="3"/>
      <w:numFmt w:val="decimal"/>
      <w:suff w:val="space"/>
      <w:lvlText w:val="%1."/>
      <w:lvlJc w:val="left"/>
    </w:lvl>
  </w:abstractNum>
  <w:abstractNum w:abstractNumId="1">
    <w:nsid w:val="BFE4BFF1"/>
    <w:multiLevelType w:val="singleLevel"/>
    <w:tmpl w:val="BFE4BFF1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abstractNum w:abstractNumId="2">
    <w:nsid w:val="F5FD3223"/>
    <w:multiLevelType w:val="singleLevel"/>
    <w:tmpl w:val="F5FD322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5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0E9AEF"/>
    <w:rsid w:val="FB0E9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0</TotalTime>
  <ScaleCrop>false</ScaleCrop>
  <LinksUpToDate>false</LinksUpToDate>
  <CharactersWithSpaces>0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2025-10-31T09:13:00Z</dcterms:created>
  <dc:creator>林沐熙</dc:creator>
  <cp:lastModifiedBy>林沐熙</cp:lastModifiedBy>
  <dcterms:modified xsi:type="dcterms:W3CDTF">2025-10-31T09:18:23Z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ICV">
    <vt:lpwstr>C7971E366998666C4B0D04694A02884E_41</vt:lpwstr>
  </property>
</Properties>
</file>